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765F" w:rsidRDefault="00AF765F" w:rsidP="001A4F76">
      <w:pPr>
        <w:spacing w:after="300"/>
        <w:jc w:val="center"/>
        <w:outlineLvl w:val="2"/>
        <w:rPr>
          <w:rFonts w:ascii="Book Antiqua" w:eastAsia="Times New Roman" w:hAnsi="Book Antiqua" w:cs="Times New Roman"/>
          <w:color w:val="DFB942"/>
          <w:sz w:val="32"/>
          <w:szCs w:val="32"/>
          <w:lang w:eastAsia="en-GB"/>
        </w:rPr>
      </w:pPr>
    </w:p>
    <w:p w:rsidR="001A4F76" w:rsidRPr="00AF765F" w:rsidRDefault="001A4F76" w:rsidP="001A4F76">
      <w:pPr>
        <w:spacing w:after="300"/>
        <w:jc w:val="center"/>
        <w:outlineLvl w:val="2"/>
        <w:rPr>
          <w:rFonts w:ascii="Book Antiqua" w:eastAsia="Times New Roman" w:hAnsi="Book Antiqua" w:cs="Times New Roman"/>
          <w:sz w:val="32"/>
          <w:szCs w:val="32"/>
          <w:lang w:eastAsia="en-GB"/>
        </w:rPr>
      </w:pPr>
      <w:r w:rsidRPr="00AF765F">
        <w:rPr>
          <w:rFonts w:ascii="Book Antiqua" w:eastAsia="Times New Roman" w:hAnsi="Book Antiqua" w:cs="Times New Roman"/>
          <w:color w:val="DFB942"/>
          <w:sz w:val="32"/>
          <w:szCs w:val="32"/>
          <w:lang w:eastAsia="en-GB"/>
        </w:rPr>
        <w:t>ADORAZIONE EUCARISTICA</w:t>
      </w:r>
      <w:r w:rsidRPr="00AF765F">
        <w:rPr>
          <w:rFonts w:ascii="Book Antiqua" w:eastAsia="Times New Roman" w:hAnsi="Book Antiqua" w:cs="Times New Roman"/>
          <w:color w:val="DFB942"/>
          <w:sz w:val="32"/>
          <w:szCs w:val="32"/>
          <w:lang w:val="it-IT" w:eastAsia="en-GB"/>
        </w:rPr>
        <w:t xml:space="preserve"> </w:t>
      </w:r>
      <w:r w:rsidRPr="00AF765F">
        <w:rPr>
          <w:rFonts w:ascii="Book Antiqua" w:eastAsia="Times New Roman" w:hAnsi="Book Antiqua" w:cs="Times New Roman"/>
          <w:color w:val="DFB942"/>
          <w:sz w:val="32"/>
          <w:szCs w:val="32"/>
          <w:lang w:eastAsia="en-GB"/>
        </w:rPr>
        <w:t>PER LA VISITA PASTORALE</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Lett.</w:t>
      </w:r>
      <w:r w:rsidRPr="00AF765F">
        <w:rPr>
          <w:rFonts w:ascii="Book Antiqua" w:eastAsia="Times New Roman" w:hAnsi="Book Antiqua" w:cs="Open Sans"/>
          <w:color w:val="7A7A7A"/>
          <w:sz w:val="28"/>
          <w:szCs w:val="28"/>
          <w:lang w:eastAsia="en-GB"/>
        </w:rPr>
        <w:t> Il Signore è il buon Pastore che si prende cura del suo gregge: egli è il Dio fedele che nutre il suo popolo con amore di padre. In occasione della Visita Pastorale del nostro Arcivescovo Michele, vogliamo ravvivare in noi il desiderio di una profonda comunione con Cristo, perché è dall’Eucaristia che la Chiesa riceve la sua perfezione. Adoriamo Cristo Gesù che ci viene incontro nel segno povero del pane consacrato: Adoriamo il Signore che visita, nutre ed edifica il suo popolo.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Cel.</w:t>
      </w:r>
      <w:r w:rsidRPr="00AF765F">
        <w:rPr>
          <w:rFonts w:ascii="Book Antiqua" w:eastAsia="Times New Roman" w:hAnsi="Book Antiqua" w:cs="Open Sans"/>
          <w:color w:val="7A7A7A"/>
          <w:sz w:val="28"/>
          <w:szCs w:val="28"/>
          <w:lang w:eastAsia="en-GB"/>
        </w:rPr>
        <w:t> Nel nome del Padre e del Figlio e dello Spirito Santo.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Ass</w:t>
      </w:r>
      <w:r w:rsidRPr="00AF765F">
        <w:rPr>
          <w:rFonts w:ascii="Book Antiqua" w:eastAsia="Times New Roman" w:hAnsi="Book Antiqua" w:cs="Open Sans"/>
          <w:color w:val="7A7A7A"/>
          <w:sz w:val="28"/>
          <w:szCs w:val="28"/>
          <w:lang w:eastAsia="en-GB"/>
        </w:rPr>
        <w:t>. Amen.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Cel</w:t>
      </w:r>
      <w:r w:rsidRPr="00AF765F">
        <w:rPr>
          <w:rFonts w:ascii="Book Antiqua" w:eastAsia="Times New Roman" w:hAnsi="Book Antiqua" w:cs="Open Sans"/>
          <w:color w:val="7A7A7A"/>
          <w:sz w:val="28"/>
          <w:szCs w:val="28"/>
          <w:lang w:eastAsia="en-GB"/>
        </w:rPr>
        <w:t>. La grazia del Signore nostro Gesù Cristo, l’amore di Dio Padre e la comunione dello Spirito Santo siano con tutti voi.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Ass</w:t>
      </w:r>
      <w:r w:rsidRPr="00AF765F">
        <w:rPr>
          <w:rFonts w:ascii="Book Antiqua" w:eastAsia="Times New Roman" w:hAnsi="Book Antiqua" w:cs="Open Sans"/>
          <w:color w:val="7A7A7A"/>
          <w:sz w:val="28"/>
          <w:szCs w:val="28"/>
          <w:lang w:eastAsia="en-GB"/>
        </w:rPr>
        <w:t>. E con il tuo Spirito.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Lett</w:t>
      </w:r>
      <w:r w:rsidRPr="00AF765F">
        <w:rPr>
          <w:rFonts w:ascii="Book Antiqua" w:eastAsia="Times New Roman" w:hAnsi="Book Antiqua" w:cs="Open Sans"/>
          <w:color w:val="7A7A7A"/>
          <w:sz w:val="28"/>
          <w:szCs w:val="28"/>
          <w:lang w:eastAsia="en-GB"/>
        </w:rPr>
        <w:t>. Dalla prima lettera di San Paolo apostolo ai Corinzi </w:t>
      </w:r>
    </w:p>
    <w:p w:rsidR="00CB5395"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7A7A7A"/>
          <w:sz w:val="28"/>
          <w:szCs w:val="28"/>
          <w:lang w:eastAsia="en-GB"/>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di questo pane e bevete di questo calice, voi annunziate la morte del Signore finché egli venga. Perciò chiunque in modo indegno mangia il pane o beve il calice del Signore, sarà reo del corpo e del sangue del Signore. Ciascuno, pertanto, esamini se stesso e poi mangi di questo pane e beva di questo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veniamo ammoniti per non esser condannati insieme con questo mondo. </w:t>
      </w:r>
    </w:p>
    <w:p w:rsidR="00AF765F" w:rsidRPr="00AF765F" w:rsidRDefault="00AF765F" w:rsidP="001A4F76">
      <w:pPr>
        <w:spacing w:before="100" w:beforeAutospacing="1" w:after="100" w:afterAutospacing="1"/>
        <w:jc w:val="both"/>
        <w:rPr>
          <w:rFonts w:ascii="Book Antiqua" w:eastAsia="Times New Roman" w:hAnsi="Book Antiqua" w:cs="Open Sans"/>
          <w:color w:val="7A7A7A"/>
          <w:sz w:val="28"/>
          <w:szCs w:val="28"/>
          <w:lang w:eastAsia="en-GB"/>
        </w:rPr>
      </w:pP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Dal Salmo 118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1 coro</w:t>
      </w:r>
      <w:r w:rsidRPr="00AF765F">
        <w:rPr>
          <w:rFonts w:ascii="Book Antiqua" w:eastAsia="Times New Roman" w:hAnsi="Book Antiqua" w:cs="Open Sans"/>
          <w:color w:val="7A7A7A"/>
          <w:sz w:val="28"/>
          <w:szCs w:val="28"/>
          <w:lang w:eastAsia="en-GB"/>
        </w:rPr>
        <w:t> Mia forza e mio canto è il Signore, egli è stato la mia salvezza. Grida di giubilo e di vittoria nelle tende dei giusti: la destra del Signore ha fatto prodezze.</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2</w:t>
      </w:r>
      <w:r w:rsidRPr="00AF765F">
        <w:rPr>
          <w:rFonts w:ascii="Book Antiqua" w:eastAsia="Times New Roman" w:hAnsi="Book Antiqua" w:cs="Open Sans"/>
          <w:color w:val="2E7EC0"/>
          <w:sz w:val="28"/>
          <w:szCs w:val="28"/>
          <w:lang w:val="it-IT" w:eastAsia="en-GB"/>
        </w:rPr>
        <w:t xml:space="preserve"> </w:t>
      </w:r>
      <w:r w:rsidRPr="00AF765F">
        <w:rPr>
          <w:rFonts w:ascii="Book Antiqua" w:eastAsia="Times New Roman" w:hAnsi="Book Antiqua" w:cs="Open Sans"/>
          <w:color w:val="2E7EC0"/>
          <w:sz w:val="28"/>
          <w:szCs w:val="28"/>
          <w:lang w:eastAsia="en-GB"/>
        </w:rPr>
        <w:t>coro</w:t>
      </w:r>
      <w:r w:rsidRPr="00AF765F">
        <w:rPr>
          <w:rFonts w:ascii="Book Antiqua" w:eastAsia="Times New Roman" w:hAnsi="Book Antiqua" w:cs="Open Sans"/>
          <w:color w:val="7A7A7A"/>
          <w:sz w:val="28"/>
          <w:szCs w:val="28"/>
          <w:lang w:eastAsia="en-GB"/>
        </w:rPr>
        <w:t> Non</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morirò, ma resterò in vita</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e annuncerò le opere del</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Signore.</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Il Signore mi ha castigato duramente,</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ma non mi ha</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consegnato alla morte.</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Apritemi le porte della giustizia:</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vi entrerò per ringraziare il Signore.</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È questa la porta del Signore: per essa entrano i giusti.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Tutti</w:t>
      </w:r>
      <w:r w:rsidRPr="00AF765F">
        <w:rPr>
          <w:rFonts w:ascii="Book Antiqua" w:eastAsia="Times New Roman" w:hAnsi="Book Antiqua" w:cs="Open Sans"/>
          <w:color w:val="7A7A7A"/>
          <w:sz w:val="28"/>
          <w:szCs w:val="28"/>
          <w:lang w:eastAsia="en-GB"/>
        </w:rPr>
        <w:t> Ti rendo grazie, perché mi hai risposto,</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perché sei stato la mia salvezza.</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La pietra scartata dai costruttori</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è divenuta la pietra d’angolo.</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Questo è il giorno che ha fatto il Signore:</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rallegriamoci in esso ed esultiamo </w:t>
      </w:r>
    </w:p>
    <w:p w:rsidR="00CB5395" w:rsidRPr="00AF765F" w:rsidRDefault="00CB5395" w:rsidP="001A4F76">
      <w:pPr>
        <w:spacing w:after="300"/>
        <w:jc w:val="center"/>
        <w:outlineLvl w:val="2"/>
        <w:rPr>
          <w:rFonts w:ascii="Book Antiqua" w:eastAsia="Times New Roman" w:hAnsi="Book Antiqua" w:cs="Times New Roman"/>
          <w:color w:val="DFB942"/>
          <w:sz w:val="28"/>
          <w:szCs w:val="28"/>
          <w:lang w:eastAsia="en-GB"/>
        </w:rPr>
      </w:pPr>
    </w:p>
    <w:p w:rsidR="001A4F76" w:rsidRPr="00AF765F" w:rsidRDefault="001A4F76" w:rsidP="001A4F76">
      <w:pPr>
        <w:spacing w:after="300"/>
        <w:jc w:val="center"/>
        <w:outlineLvl w:val="2"/>
        <w:rPr>
          <w:rFonts w:ascii="Book Antiqua" w:eastAsia="Times New Roman" w:hAnsi="Book Antiqua" w:cs="Times New Roman"/>
          <w:sz w:val="32"/>
          <w:szCs w:val="32"/>
          <w:lang w:eastAsia="en-GB"/>
        </w:rPr>
      </w:pPr>
      <w:r w:rsidRPr="00AF765F">
        <w:rPr>
          <w:rFonts w:ascii="Book Antiqua" w:eastAsia="Times New Roman" w:hAnsi="Book Antiqua" w:cs="Times New Roman"/>
          <w:color w:val="DFB942"/>
          <w:sz w:val="32"/>
          <w:szCs w:val="32"/>
          <w:lang w:eastAsia="en-GB"/>
        </w:rPr>
        <w:t>Esposizione del Santissimo Sacramento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Canto</w:t>
      </w:r>
      <w:r w:rsidRPr="00AF765F">
        <w:rPr>
          <w:rFonts w:ascii="Book Antiqua" w:eastAsia="Times New Roman" w:hAnsi="Book Antiqua" w:cs="Open Sans"/>
          <w:color w:val="7A7A7A"/>
          <w:sz w:val="28"/>
          <w:szCs w:val="28"/>
          <w:lang w:eastAsia="en-GB"/>
        </w:rPr>
        <w:t>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Cel</w:t>
      </w:r>
      <w:r w:rsidRPr="00AF765F">
        <w:rPr>
          <w:rFonts w:ascii="Book Antiqua" w:eastAsia="Times New Roman" w:hAnsi="Book Antiqua" w:cs="Open Sans"/>
          <w:color w:val="7A7A7A"/>
          <w:sz w:val="28"/>
          <w:szCs w:val="28"/>
          <w:lang w:eastAsia="en-GB"/>
        </w:rPr>
        <w:t>. Ti ringraziamo, o Padre nostro, per la vita e la conoscenza che ci hai rivelato per mezzo del tuo Figlio.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Ass</w:t>
      </w:r>
      <w:r w:rsidRPr="00AF765F">
        <w:rPr>
          <w:rFonts w:ascii="Book Antiqua" w:eastAsia="Times New Roman" w:hAnsi="Book Antiqua" w:cs="Open Sans"/>
          <w:color w:val="7A7A7A"/>
          <w:sz w:val="28"/>
          <w:szCs w:val="28"/>
          <w:lang w:eastAsia="en-GB"/>
        </w:rPr>
        <w:t>. A Te la gloria e la lode nei secoli.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Cel</w:t>
      </w:r>
      <w:r w:rsidRPr="00AF765F">
        <w:rPr>
          <w:rFonts w:ascii="Book Antiqua" w:eastAsia="Times New Roman" w:hAnsi="Book Antiqua" w:cs="Open Sans"/>
          <w:color w:val="7A7A7A"/>
          <w:sz w:val="28"/>
          <w:szCs w:val="28"/>
          <w:lang w:eastAsia="en-GB"/>
        </w:rPr>
        <w:t>. Ti adoriamo, o Cristo Signore, presente qui nel SS. Sacramento dell’Altare, che ci nutri col tuo amore.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Ass</w:t>
      </w:r>
      <w:r w:rsidRPr="00AF765F">
        <w:rPr>
          <w:rFonts w:ascii="Book Antiqua" w:eastAsia="Times New Roman" w:hAnsi="Book Antiqua" w:cs="Open Sans"/>
          <w:color w:val="7A7A7A"/>
          <w:sz w:val="28"/>
          <w:szCs w:val="28"/>
          <w:lang w:eastAsia="en-GB"/>
        </w:rPr>
        <w:t>. A Te la gloria e la lode nei secoli.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Cel</w:t>
      </w:r>
      <w:r w:rsidRPr="00AF765F">
        <w:rPr>
          <w:rFonts w:ascii="Book Antiqua" w:eastAsia="Times New Roman" w:hAnsi="Book Antiqua" w:cs="Open Sans"/>
          <w:color w:val="7A7A7A"/>
          <w:sz w:val="28"/>
          <w:szCs w:val="28"/>
          <w:lang w:eastAsia="en-GB"/>
        </w:rPr>
        <w:t>. Ti invochiamo, Spirito Santo, che sostieni e custodisci la tua Chiesa sotto l’ombra delle tue ali. </w:t>
      </w:r>
    </w:p>
    <w:p w:rsidR="001A4F76"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Ass</w:t>
      </w:r>
      <w:r w:rsidRPr="00AF765F">
        <w:rPr>
          <w:rFonts w:ascii="Book Antiqua" w:eastAsia="Times New Roman" w:hAnsi="Book Antiqua" w:cs="Open Sans"/>
          <w:color w:val="7A7A7A"/>
          <w:sz w:val="28"/>
          <w:szCs w:val="28"/>
          <w:lang w:eastAsia="en-GB"/>
        </w:rPr>
        <w:t>. A Te la gloria e la lode nei secoli. </w:t>
      </w:r>
    </w:p>
    <w:p w:rsidR="00AF765F" w:rsidRDefault="00AF765F" w:rsidP="001A4F76">
      <w:pPr>
        <w:spacing w:before="100" w:beforeAutospacing="1" w:after="100" w:afterAutospacing="1"/>
        <w:jc w:val="both"/>
        <w:rPr>
          <w:rFonts w:ascii="Book Antiqua" w:eastAsia="Times New Roman" w:hAnsi="Book Antiqua" w:cs="Open Sans"/>
          <w:color w:val="7A7A7A"/>
          <w:sz w:val="28"/>
          <w:szCs w:val="28"/>
          <w:lang w:eastAsia="en-GB"/>
        </w:rPr>
      </w:pPr>
    </w:p>
    <w:p w:rsidR="00AF765F" w:rsidRDefault="00AF765F" w:rsidP="001A4F76">
      <w:pPr>
        <w:spacing w:before="100" w:beforeAutospacing="1" w:after="100" w:afterAutospacing="1"/>
        <w:jc w:val="both"/>
        <w:rPr>
          <w:rFonts w:ascii="Book Antiqua" w:eastAsia="Times New Roman" w:hAnsi="Book Antiqua" w:cs="Open Sans"/>
          <w:color w:val="7A7A7A"/>
          <w:sz w:val="28"/>
          <w:szCs w:val="28"/>
          <w:lang w:eastAsia="en-GB"/>
        </w:rPr>
      </w:pPr>
    </w:p>
    <w:p w:rsidR="00AF765F" w:rsidRPr="00AF765F" w:rsidRDefault="00AF765F" w:rsidP="001A4F76">
      <w:pPr>
        <w:spacing w:before="100" w:beforeAutospacing="1" w:after="100" w:afterAutospacing="1"/>
        <w:jc w:val="both"/>
        <w:rPr>
          <w:rFonts w:ascii="Book Antiqua" w:eastAsia="Times New Roman" w:hAnsi="Book Antiqua" w:cs="Open Sans"/>
          <w:color w:val="7A7A7A"/>
          <w:sz w:val="28"/>
          <w:szCs w:val="28"/>
          <w:lang w:eastAsia="en-GB"/>
        </w:rPr>
      </w:pP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Lett</w:t>
      </w:r>
      <w:r w:rsidRPr="00AF765F">
        <w:rPr>
          <w:rFonts w:ascii="Book Antiqua" w:eastAsia="Times New Roman" w:hAnsi="Book Antiqua" w:cs="Open Sans"/>
          <w:color w:val="7A7A7A"/>
          <w:sz w:val="28"/>
          <w:szCs w:val="28"/>
          <w:lang w:eastAsia="en-GB"/>
        </w:rPr>
        <w:t>. Dal Vangelo secondo Giovanni (10, 11-16) </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7A7A7A"/>
          <w:sz w:val="28"/>
          <w:szCs w:val="28"/>
          <w:lang w:eastAsia="en-GB"/>
        </w:rPr>
        <w:t>Io sono il buon pastore. Il buon pastore offre la vita per le pecore. Il mercenario invece, che non è pastore e al quale le pecore non appartengono, vede venire il lupo, abbandona le pecore e fugge e il lupo le rapisce e le disperde; egli è un mercenario e non gli importa delle pecore. Io sono il buon pastore, conosco le mie pecore e le mie pecore conoscono me, come il Padre conosce me e io conosco il Padre; e offro la vita per le pecore. E ho altre pecore che non sono di quest’ovile; anche queste io devo condurre; ascolteranno la mia voce e diventeranno un solo gregge e un solo pastore.</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Lett</w:t>
      </w:r>
      <w:r w:rsidRPr="00AF765F">
        <w:rPr>
          <w:rFonts w:ascii="Book Antiqua" w:eastAsia="Times New Roman" w:hAnsi="Book Antiqua" w:cs="Open Sans"/>
          <w:color w:val="7A7A7A"/>
          <w:sz w:val="28"/>
          <w:szCs w:val="28"/>
          <w:lang w:eastAsia="en-GB"/>
        </w:rPr>
        <w:t>.    Dalla lettera di indizione della Visita Pastorale</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7A7A7A"/>
          <w:sz w:val="28"/>
          <w:szCs w:val="28"/>
          <w:lang w:eastAsia="en-GB"/>
        </w:rPr>
        <w:t>Il Vescovo, come pastore, non solo avverte l’esigenza di entrare nel tessuto vivo della Chiesa particolare che è stata affidata allasua cura di Padre, ma ha il dovere di stabilire e coltivare una relazione personale con il presbiterio (sacerdoti e diaconi), con i tanticollaboratori pastorali e con tutte le realtà disseminate nel territorio diocesano: dalle comunità par- rocchiali alle associazioni ecclesiali,dai gruppi ai movimenti della Dioce- si. Una conoscenza che ritengo indispensabile per un servizio pastorale che risponda il più possibile alle attese del Vangelo e ai concreti bisogni delle comunità. (CJC 396- 398). Inoltre, il Sinodo, voluto dal Santo Padre Francesco, ci pone nelle migliori condizioni, affinché maturi il nostro re- ciproco ascolto e il Pastore conosca il suo gregge. Mi attendomolto dalla fase sapienziale di questo Sinodo, in cui saremo chiamati a far tesoro delle indicazioni che ci vengono dalla nostragente.</w:t>
      </w:r>
    </w:p>
    <w:p w:rsidR="00CB5395" w:rsidRPr="00AF765F" w:rsidRDefault="001A4F76" w:rsidP="00CB5395">
      <w:pPr>
        <w:jc w:val="both"/>
        <w:rPr>
          <w:rFonts w:ascii="Book Antiqua" w:eastAsia="Times New Roman" w:hAnsi="Book Antiqua" w:cs="Open Sans"/>
          <w:color w:val="2E7EC0"/>
          <w:sz w:val="28"/>
          <w:szCs w:val="28"/>
          <w:lang w:eastAsia="en-GB"/>
        </w:rPr>
      </w:pPr>
      <w:r w:rsidRPr="00AF765F">
        <w:rPr>
          <w:rFonts w:ascii="Book Antiqua" w:eastAsia="Times New Roman" w:hAnsi="Book Antiqua" w:cs="Open Sans"/>
          <w:color w:val="2E7EC0"/>
          <w:sz w:val="28"/>
          <w:szCs w:val="28"/>
          <w:lang w:eastAsia="en-GB"/>
        </w:rPr>
        <w:t>Canto</w:t>
      </w:r>
      <w:r w:rsidRPr="00AF765F">
        <w:rPr>
          <w:rFonts w:ascii="Book Antiqua" w:eastAsia="Times New Roman" w:hAnsi="Book Antiqua" w:cs="Open Sans"/>
          <w:color w:val="7A7A7A"/>
          <w:sz w:val="28"/>
          <w:szCs w:val="28"/>
          <w:lang w:eastAsia="en-GB"/>
        </w:rPr>
        <w:t>: Il Signore è il mio Pastore.</w:t>
      </w:r>
    </w:p>
    <w:p w:rsidR="00CB5395" w:rsidRPr="00AF765F" w:rsidRDefault="001A4F76" w:rsidP="00CB5395">
      <w:pPr>
        <w:jc w:val="both"/>
        <w:rPr>
          <w:rFonts w:ascii="Book Antiqua" w:eastAsia="Times New Roman" w:hAnsi="Book Antiqua" w:cs="Open Sans"/>
          <w:color w:val="2E7EC0"/>
          <w:sz w:val="28"/>
          <w:szCs w:val="28"/>
          <w:lang w:val="it-IT" w:eastAsia="en-GB"/>
        </w:rPr>
      </w:pPr>
      <w:r w:rsidRPr="00AF765F">
        <w:rPr>
          <w:rFonts w:ascii="Book Antiqua" w:eastAsia="Times New Roman" w:hAnsi="Book Antiqua" w:cs="Open Sans"/>
          <w:color w:val="2E7EC0"/>
          <w:sz w:val="28"/>
          <w:szCs w:val="28"/>
          <w:lang w:eastAsia="en-GB"/>
        </w:rPr>
        <w:t>Adorazione silenziosa</w:t>
      </w:r>
      <w:r w:rsidR="00CB5395" w:rsidRPr="00AF765F">
        <w:rPr>
          <w:rFonts w:ascii="Book Antiqua" w:eastAsia="Times New Roman" w:hAnsi="Book Antiqua" w:cs="Open Sans"/>
          <w:color w:val="2E7EC0"/>
          <w:sz w:val="28"/>
          <w:szCs w:val="28"/>
          <w:lang w:val="it-IT" w:eastAsia="en-GB"/>
        </w:rPr>
        <w:t>.</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Lett</w:t>
      </w:r>
      <w:r w:rsidRPr="00AF765F">
        <w:rPr>
          <w:rFonts w:ascii="Book Antiqua" w:eastAsia="Times New Roman" w:hAnsi="Book Antiqua" w:cs="Open Sans"/>
          <w:color w:val="7A7A7A"/>
          <w:sz w:val="28"/>
          <w:szCs w:val="28"/>
          <w:lang w:eastAsia="en-GB"/>
        </w:rPr>
        <w:t>.    Dal Vangelo secondo Giovanni (Gv 10,1-5)</w:t>
      </w:r>
    </w:p>
    <w:p w:rsid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7A7A7A"/>
          <w:sz w:val="28"/>
          <w:szCs w:val="28"/>
          <w:lang w:eastAsia="en-GB"/>
        </w:rPr>
        <w:t xml:space="preserve">«In verità, in verità vi dico che chi non entra per la porta nell’ovile delle pecore, ma vi sale da un’altra parte, è un ladro e un brigante.Ma colui che entra per la porta è il pastore delle pecore. A lui apre il portinaio, e le pecore ascoltano la sua voce, ed egli chiama leproprie pecore per nome e le conduce fuori. Quando ha messo fuori tutte le sue pecore, va davanti a </w:t>
      </w:r>
    </w:p>
    <w:p w:rsidR="00AF765F" w:rsidRDefault="00AF765F" w:rsidP="001A4F76">
      <w:pPr>
        <w:spacing w:before="100" w:beforeAutospacing="1" w:after="100" w:afterAutospacing="1"/>
        <w:jc w:val="both"/>
        <w:rPr>
          <w:rFonts w:ascii="Book Antiqua" w:eastAsia="Times New Roman" w:hAnsi="Book Antiqua" w:cs="Open Sans"/>
          <w:color w:val="7A7A7A"/>
          <w:sz w:val="28"/>
          <w:szCs w:val="28"/>
          <w:lang w:eastAsia="en-GB"/>
        </w:rPr>
      </w:pP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7A7A7A"/>
          <w:sz w:val="28"/>
          <w:szCs w:val="28"/>
          <w:lang w:eastAsia="en-GB"/>
        </w:rPr>
        <w:t>loro, e le pecore lo seguono,perché conoscono la sua voce. Ma un estraneo non lo seguiranno; anzi, fuggiranno via da lui perché non conoscono la voce degliestranei».</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Lett</w:t>
      </w:r>
      <w:r w:rsidRPr="00AF765F">
        <w:rPr>
          <w:rFonts w:ascii="Book Antiqua" w:eastAsia="Times New Roman" w:hAnsi="Book Antiqua" w:cs="Open Sans"/>
          <w:color w:val="7A7A7A"/>
          <w:sz w:val="28"/>
          <w:szCs w:val="28"/>
          <w:lang w:eastAsia="en-GB"/>
        </w:rPr>
        <w:t>.    Dalla lettera di Indizione della Visita Pastorale</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7A7A7A"/>
          <w:sz w:val="28"/>
          <w:szCs w:val="28"/>
          <w:lang w:eastAsia="en-GB"/>
        </w:rPr>
        <w:t>La Visita Pastorale sarà anche il modo per continuare a seminare nel terreno della nostra Comunità il Vangelo del Regno econtribuire a do- nare a questa amata diocesi un cammino sinodale fatto di comunione, partecipazione e missione. In questo senso, vorrò proseguire il cammino di rinnovamento degli organismi di partecipazione per rilanciare, in spi- rito di autentica comunione, la nuova evangelizzazione.</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Canto</w:t>
      </w:r>
      <w:r w:rsidRPr="00AF765F">
        <w:rPr>
          <w:rFonts w:ascii="Book Antiqua" w:eastAsia="Times New Roman" w:hAnsi="Book Antiqua" w:cs="Open Sans"/>
          <w:color w:val="2E7EC0"/>
          <w:sz w:val="28"/>
          <w:szCs w:val="28"/>
          <w:lang w:eastAsia="en-GB"/>
        </w:rPr>
        <w:br/>
        <w:t>Adorazione silenziosa.</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Lett</w:t>
      </w:r>
      <w:r w:rsidRPr="00AF765F">
        <w:rPr>
          <w:rFonts w:ascii="Book Antiqua" w:eastAsia="Times New Roman" w:hAnsi="Book Antiqua" w:cs="Open Sans"/>
          <w:color w:val="7A7A7A"/>
          <w:sz w:val="28"/>
          <w:szCs w:val="28"/>
          <w:lang w:eastAsia="en-GB"/>
        </w:rPr>
        <w:t>.    Dal Vangelo secondo Giovanni (1, 14-18)</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7A7A7A"/>
          <w:sz w:val="28"/>
          <w:szCs w:val="28"/>
          <w:lang w:eastAsia="en-GB"/>
        </w:rPr>
        <w:t>E il Verbo si fece carne</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e venne ad abitare in mezzo a noi;</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e noi abbiamo contemplato la sua gloria, gloria come del Figlio unigenito</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che viene dal Padre, pieno di grazia e di verità.</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Giovanni gli dà testimonianza e proclama:</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«Era di lui che io dissi:</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Colui che viene dopo</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di me è avanti a me,</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perché era</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prima di me».</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Dalla sua pienezza</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noi tutti abbiamo ricevuto:</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grazia su grazia.</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Perché la Legge fu data per mezzo di Mosè,</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la grazia e la verità vennero per mezzo di Gesù Cristo. Dio, nessuno lo ha mai visto:</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il Figlio unigenito, che è Dio ed è nel seno del Padre,</w:t>
      </w:r>
      <w:r w:rsidR="00CB5395" w:rsidRPr="00AF765F">
        <w:rPr>
          <w:rFonts w:ascii="Book Antiqua" w:eastAsia="Times New Roman" w:hAnsi="Book Antiqua" w:cs="Open Sans"/>
          <w:color w:val="7A7A7A"/>
          <w:sz w:val="28"/>
          <w:szCs w:val="28"/>
          <w:lang w:val="it-IT" w:eastAsia="en-GB"/>
        </w:rPr>
        <w:t xml:space="preserve"> </w:t>
      </w:r>
      <w:r w:rsidRPr="00AF765F">
        <w:rPr>
          <w:rFonts w:ascii="Book Antiqua" w:eastAsia="Times New Roman" w:hAnsi="Book Antiqua" w:cs="Open Sans"/>
          <w:color w:val="7A7A7A"/>
          <w:sz w:val="28"/>
          <w:szCs w:val="28"/>
          <w:lang w:eastAsia="en-GB"/>
        </w:rPr>
        <w:t>è lui che lo ha rivelato.</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Lett</w:t>
      </w:r>
      <w:r w:rsidRPr="00AF765F">
        <w:rPr>
          <w:rFonts w:ascii="Book Antiqua" w:eastAsia="Times New Roman" w:hAnsi="Book Antiqua" w:cs="Open Sans"/>
          <w:color w:val="7A7A7A"/>
          <w:sz w:val="28"/>
          <w:szCs w:val="28"/>
          <w:lang w:eastAsia="en-GB"/>
        </w:rPr>
        <w:t>.    </w:t>
      </w:r>
      <w:r w:rsidRPr="00AF765F">
        <w:rPr>
          <w:rFonts w:ascii="Book Antiqua" w:eastAsia="Times New Roman" w:hAnsi="Book Antiqua" w:cs="Open Sans"/>
          <w:color w:val="2E7EC0"/>
          <w:sz w:val="28"/>
          <w:szCs w:val="28"/>
          <w:lang w:eastAsia="en-GB"/>
        </w:rPr>
        <w:t>Dal Direttorio per il ministero pastorale dei Vescovi “Apostolorum Successores” (n. 220)</w:t>
      </w:r>
    </w:p>
    <w:p w:rsid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7A7A7A"/>
          <w:sz w:val="28"/>
          <w:szCs w:val="28"/>
          <w:lang w:eastAsia="en-GB"/>
        </w:rPr>
        <w:t xml:space="preserve">La visita pastorale è una delle forme, collaudate dall’esperienza dei secoli, con cui il Vescovo mantiene contatti personali con il cleroe con gli altri membri del Popolo di Dio. è occasione per ravvivare le energie degli operai evangelici, lodarli, incoraggiarli e consolarli, è anche l’occasione per richiamare tutti i fedeli al rinnovamento della propria vita cristiana e ad un’azione apostolica più intensa. Lavisita gli consente inoltre di valutare l’efficienza delle strutture e degli strumenti destinati al servizio pastorale, rendendosi conto dellecircostanze e difficoltà del lavoro di </w:t>
      </w:r>
    </w:p>
    <w:p w:rsidR="00AF765F" w:rsidRDefault="00AF765F" w:rsidP="001A4F76">
      <w:pPr>
        <w:spacing w:before="100" w:beforeAutospacing="1" w:after="100" w:afterAutospacing="1"/>
        <w:jc w:val="both"/>
        <w:rPr>
          <w:rFonts w:ascii="Book Antiqua" w:eastAsia="Times New Roman" w:hAnsi="Book Antiqua" w:cs="Open Sans"/>
          <w:color w:val="7A7A7A"/>
          <w:sz w:val="28"/>
          <w:szCs w:val="28"/>
          <w:lang w:eastAsia="en-GB"/>
        </w:rPr>
      </w:pP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7A7A7A"/>
          <w:sz w:val="28"/>
          <w:szCs w:val="28"/>
          <w:lang w:eastAsia="en-GB"/>
        </w:rPr>
        <w:t>evangelizzazione, per poter determinare meglio le priorità e i mezzi della pastorale organica.</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7A7A7A"/>
          <w:sz w:val="28"/>
          <w:szCs w:val="28"/>
          <w:lang w:eastAsia="en-GB"/>
        </w:rPr>
        <w:t>La visita pastorale è pertanto un’azione apostolica che il Vescovo deve compiere animato da carità pastorale che lo manifestaconcretamente quale principio e fondamento visibile dell’unità nella Chiesa particolare (679). Per le comunità e le istituzioni che laricevono, la visita è un evento di grazia che riflette in qualche misura quella specialissima visita con la quale il “supremo pastore” (1 Pt 5,4) e guardiano delle nostre anime (cf. 1 Pt 2, 25), Gesù Cristo, ha visitato e redento il suo popolo (cf. Lc 1, 68).</w:t>
      </w:r>
    </w:p>
    <w:p w:rsidR="001A4F76" w:rsidRPr="00AF765F" w:rsidRDefault="001A4F76" w:rsidP="001A4F76">
      <w:pPr>
        <w:spacing w:before="100" w:beforeAutospacing="1" w:after="100" w:afterAutospacing="1"/>
        <w:jc w:val="both"/>
        <w:rPr>
          <w:rFonts w:ascii="Book Antiqua" w:eastAsia="Times New Roman" w:hAnsi="Book Antiqua" w:cs="Open Sans"/>
          <w:color w:val="2E7EC1"/>
          <w:sz w:val="28"/>
          <w:szCs w:val="28"/>
          <w:lang w:eastAsia="en-GB"/>
        </w:rPr>
      </w:pPr>
      <w:r w:rsidRPr="00AF765F">
        <w:rPr>
          <w:rFonts w:ascii="Book Antiqua" w:eastAsia="Times New Roman" w:hAnsi="Book Antiqua" w:cs="Open Sans"/>
          <w:color w:val="2E7EC1"/>
          <w:sz w:val="28"/>
          <w:szCs w:val="28"/>
          <w:lang w:eastAsia="en-GB"/>
        </w:rPr>
        <w:t>Canto</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Riflessione del sacerdote Preghiera per la visita Pastorale Canto</w:t>
      </w:r>
    </w:p>
    <w:p w:rsidR="001A4F76" w:rsidRPr="00AF765F" w:rsidRDefault="001A4F76" w:rsidP="001A4F76">
      <w:pPr>
        <w:spacing w:before="100" w:beforeAutospacing="1" w:after="100" w:afterAutospacing="1"/>
        <w:jc w:val="both"/>
        <w:rPr>
          <w:rFonts w:ascii="Book Antiqua" w:eastAsia="Times New Roman" w:hAnsi="Book Antiqua" w:cs="Open Sans"/>
          <w:color w:val="7A7A7A"/>
          <w:sz w:val="28"/>
          <w:szCs w:val="28"/>
          <w:lang w:eastAsia="en-GB"/>
        </w:rPr>
      </w:pPr>
      <w:r w:rsidRPr="00AF765F">
        <w:rPr>
          <w:rFonts w:ascii="Book Antiqua" w:eastAsia="Times New Roman" w:hAnsi="Book Antiqua" w:cs="Open Sans"/>
          <w:color w:val="2E7EC0"/>
          <w:sz w:val="28"/>
          <w:szCs w:val="28"/>
          <w:lang w:eastAsia="en-GB"/>
        </w:rPr>
        <w:t>Benedizione eucaristica</w:t>
      </w:r>
    </w:p>
    <w:p w:rsidR="001A4F76" w:rsidRPr="00AF765F" w:rsidRDefault="001A4F76" w:rsidP="001A4F76">
      <w:pPr>
        <w:rPr>
          <w:rFonts w:ascii="Book Antiqua" w:eastAsia="Times New Roman" w:hAnsi="Book Antiqua" w:cs="Times New Roman"/>
          <w:sz w:val="28"/>
          <w:szCs w:val="28"/>
          <w:lang w:eastAsia="en-GB"/>
        </w:rPr>
      </w:pPr>
    </w:p>
    <w:p w:rsidR="001A4F76" w:rsidRPr="00AF765F" w:rsidRDefault="001A4F76">
      <w:pPr>
        <w:rPr>
          <w:rFonts w:ascii="Book Antiqua" w:hAnsi="Book Antiqua"/>
          <w:sz w:val="28"/>
          <w:szCs w:val="28"/>
        </w:rPr>
      </w:pPr>
    </w:p>
    <w:sectPr w:rsidR="001A4F76" w:rsidRPr="00AF765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4EFF" w:rsidRDefault="00704EFF" w:rsidP="00AF765F">
      <w:r>
        <w:separator/>
      </w:r>
    </w:p>
  </w:endnote>
  <w:endnote w:type="continuationSeparator" w:id="0">
    <w:p w:rsidR="00704EFF" w:rsidRDefault="00704EFF" w:rsidP="00AF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4EFF" w:rsidRDefault="00704EFF" w:rsidP="00AF765F">
      <w:r>
        <w:separator/>
      </w:r>
    </w:p>
  </w:footnote>
  <w:footnote w:type="continuationSeparator" w:id="0">
    <w:p w:rsidR="00704EFF" w:rsidRDefault="00704EFF" w:rsidP="00AF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765F" w:rsidRDefault="00AF765F">
    <w:pPr>
      <w:pStyle w:val="Header"/>
    </w:pPr>
    <w:r>
      <w:rPr>
        <w:noProof/>
      </w:rPr>
      <w:drawing>
        <wp:inline distT="0" distB="0" distL="0" distR="0" wp14:anchorId="345585C8" wp14:editId="4FFA2A03">
          <wp:extent cx="1828800" cy="79890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39065" cy="8033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76"/>
    <w:rsid w:val="001A4F76"/>
    <w:rsid w:val="00704EFF"/>
    <w:rsid w:val="00AF765F"/>
    <w:rsid w:val="00CB5395"/>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D3AA7A2"/>
  <w15:chartTrackingRefBased/>
  <w15:docId w15:val="{978F6F99-B30D-A145-A039-B56C4B44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4F7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4F76"/>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1A4F76"/>
  </w:style>
  <w:style w:type="paragraph" w:styleId="NormalWeb">
    <w:name w:val="Normal (Web)"/>
    <w:basedOn w:val="Normal"/>
    <w:uiPriority w:val="99"/>
    <w:semiHidden/>
    <w:unhideWhenUsed/>
    <w:rsid w:val="001A4F7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AF765F"/>
    <w:pPr>
      <w:tabs>
        <w:tab w:val="center" w:pos="4513"/>
        <w:tab w:val="right" w:pos="9026"/>
      </w:tabs>
    </w:pPr>
  </w:style>
  <w:style w:type="character" w:customStyle="1" w:styleId="HeaderChar">
    <w:name w:val="Header Char"/>
    <w:basedOn w:val="DefaultParagraphFont"/>
    <w:link w:val="Header"/>
    <w:uiPriority w:val="99"/>
    <w:rsid w:val="00AF765F"/>
  </w:style>
  <w:style w:type="paragraph" w:styleId="Footer">
    <w:name w:val="footer"/>
    <w:basedOn w:val="Normal"/>
    <w:link w:val="FooterChar"/>
    <w:uiPriority w:val="99"/>
    <w:unhideWhenUsed/>
    <w:rsid w:val="00AF765F"/>
    <w:pPr>
      <w:tabs>
        <w:tab w:val="center" w:pos="4513"/>
        <w:tab w:val="right" w:pos="9026"/>
      </w:tabs>
    </w:pPr>
  </w:style>
  <w:style w:type="character" w:customStyle="1" w:styleId="FooterChar">
    <w:name w:val="Footer Char"/>
    <w:basedOn w:val="DefaultParagraphFont"/>
    <w:link w:val="Footer"/>
    <w:uiPriority w:val="99"/>
    <w:rsid w:val="00AF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Desirè Margherita Latino</dc:creator>
  <cp:keywords/>
  <dc:description/>
  <cp:lastModifiedBy>Desirè Margherita Latino</cp:lastModifiedBy>
  <cp:revision>2</cp:revision>
  <dcterms:created xsi:type="dcterms:W3CDTF">2023-03-01T10:54:00Z</dcterms:created>
  <dcterms:modified xsi:type="dcterms:W3CDTF">2023-03-01T12:04:00Z</dcterms:modified>
</cp:coreProperties>
</file>